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A0FB65" w14:textId="5BC9F020" w:rsidR="00D64CA2" w:rsidRPr="00D64CA2" w:rsidRDefault="00D64CA2" w:rsidP="00D64CA2">
      <w:r>
        <w:t>СТ-63/25</w:t>
      </w:r>
      <w:r w:rsidRPr="00D64CA2">
        <w:tab/>
      </w:r>
      <w:r w:rsidRPr="00D64CA2">
        <w:tab/>
      </w:r>
      <w:r w:rsidRPr="00D64CA2">
        <w:tab/>
      </w:r>
      <w:r w:rsidRPr="00D64CA2">
        <w:rPr>
          <w:b/>
          <w:bCs/>
        </w:rPr>
        <w:t xml:space="preserve">           </w:t>
      </w:r>
      <w:r w:rsidRPr="00D64CA2">
        <w:tab/>
      </w:r>
      <w:r w:rsidRPr="00D64CA2">
        <w:tab/>
      </w:r>
      <w:r w:rsidRPr="00D64CA2">
        <w:tab/>
      </w:r>
    </w:p>
    <w:p w14:paraId="0FD92D1B" w14:textId="77777777" w:rsidR="00D64CA2" w:rsidRPr="00D64CA2" w:rsidRDefault="00D64CA2" w:rsidP="00D64CA2">
      <w:r w:rsidRPr="00D64CA2">
        <w:tab/>
        <w:t xml:space="preserve">ОСНОВНИОТ СУД ВО БИТОЛА со стечајниот судија </w:t>
      </w:r>
      <w:r w:rsidRPr="00D64CA2">
        <w:fldChar w:fldCharType="begin"/>
      </w:r>
      <w:r w:rsidRPr="00D64CA2">
        <w:instrText xml:space="preserve">MERGEFIELD 94 </w:instrText>
      </w:r>
      <w:r w:rsidRPr="00D64CA2">
        <w:fldChar w:fldCharType="end"/>
      </w:r>
      <w:r w:rsidRPr="00D64CA2">
        <w:t>«Татјана Митревска</w:t>
      </w:r>
      <w:r w:rsidRPr="00D64CA2">
        <w:fldChar w:fldCharType="begin"/>
      </w:r>
      <w:r w:rsidRPr="00D64CA2">
        <w:instrText xml:space="preserve">MERGEFIELD 94 </w:instrText>
      </w:r>
      <w:r w:rsidRPr="00D64CA2">
        <w:fldChar w:fldCharType="end"/>
      </w:r>
      <w:r w:rsidRPr="00D64CA2">
        <w:t xml:space="preserve">» одлучувајќи по предлогот за отварање на стечајна постапка поднесен од  управителот </w:t>
      </w:r>
      <w:r w:rsidRPr="00D64CA2">
        <w:fldChar w:fldCharType="begin"/>
      </w:r>
      <w:r w:rsidRPr="00D64CA2">
        <w:instrText xml:space="preserve">MERGEFIELD 147 </w:instrText>
      </w:r>
      <w:r w:rsidRPr="00D64CA2">
        <w:fldChar w:fldCharType="end"/>
      </w:r>
      <w:r w:rsidRPr="00D64CA2">
        <w:t>«Валентина Блажевска</w:t>
      </w:r>
      <w:r w:rsidRPr="00D64CA2">
        <w:fldChar w:fldCharType="begin"/>
      </w:r>
      <w:r w:rsidRPr="00D64CA2">
        <w:instrText xml:space="preserve">MERGEFIELD 147 </w:instrText>
      </w:r>
      <w:r w:rsidRPr="00D64CA2">
        <w:fldChar w:fldCharType="end"/>
      </w:r>
      <w:r w:rsidRPr="00D64CA2">
        <w:t xml:space="preserve">» од </w:t>
      </w:r>
      <w:r w:rsidRPr="00D64CA2">
        <w:fldChar w:fldCharType="begin"/>
      </w:r>
      <w:r w:rsidRPr="00D64CA2">
        <w:instrText xml:space="preserve">MERGEFIELD 406 </w:instrText>
      </w:r>
      <w:r w:rsidRPr="00D64CA2">
        <w:fldChar w:fldCharType="end"/>
      </w:r>
      <w:r w:rsidRPr="00D64CA2">
        <w:t>«Битола</w:t>
      </w:r>
      <w:r w:rsidRPr="00D64CA2">
        <w:fldChar w:fldCharType="begin"/>
      </w:r>
      <w:r w:rsidRPr="00D64CA2">
        <w:instrText xml:space="preserve">MERGEFIELD 406 </w:instrText>
      </w:r>
      <w:r w:rsidRPr="00D64CA2">
        <w:fldChar w:fldCharType="end"/>
      </w:r>
      <w:r w:rsidRPr="00D64CA2">
        <w:t xml:space="preserve">», </w:t>
      </w:r>
      <w:r w:rsidRPr="00D64CA2">
        <w:fldChar w:fldCharType="begin"/>
      </w:r>
      <w:r w:rsidRPr="00D64CA2">
        <w:instrText xml:space="preserve">MERGEFIELD 405 </w:instrText>
      </w:r>
      <w:r w:rsidRPr="00D64CA2">
        <w:fldChar w:fldCharType="end"/>
      </w:r>
      <w:r w:rsidRPr="00D64CA2">
        <w:t>«ул.Јосиф Јосифовски бр.1/3-7</w:t>
      </w:r>
      <w:r w:rsidRPr="00D64CA2">
        <w:fldChar w:fldCharType="begin"/>
      </w:r>
      <w:r w:rsidRPr="00D64CA2">
        <w:instrText xml:space="preserve">MERGEFIELD 405 </w:instrText>
      </w:r>
      <w:r w:rsidRPr="00D64CA2">
        <w:fldChar w:fldCharType="end"/>
      </w:r>
      <w:r w:rsidRPr="00D64CA2">
        <w:t xml:space="preserve">», за отворање на стечајна постапка над должникот Друштво за трговија, производство и услуги </w:t>
      </w:r>
      <w:r w:rsidRPr="00D64CA2">
        <w:fldChar w:fldCharType="begin"/>
      </w:r>
      <w:r w:rsidRPr="00D64CA2">
        <w:instrText xml:space="preserve">MERGEFIELD 105 </w:instrText>
      </w:r>
      <w:r w:rsidRPr="00D64CA2">
        <w:fldChar w:fldCharType="end"/>
      </w:r>
      <w:r w:rsidRPr="00D64CA2">
        <w:t>«СТИЛИЗЕД АРТ ВОРК увоз-извоз ДООЕЛ Битола</w:t>
      </w:r>
      <w:r w:rsidRPr="00D64CA2">
        <w:fldChar w:fldCharType="begin"/>
      </w:r>
      <w:r w:rsidRPr="00D64CA2">
        <w:instrText xml:space="preserve">MERGEFIELD 105 </w:instrText>
      </w:r>
      <w:r w:rsidRPr="00D64CA2">
        <w:fldChar w:fldCharType="end"/>
      </w:r>
      <w:r w:rsidRPr="00D64CA2">
        <w:t xml:space="preserve">» од </w:t>
      </w:r>
      <w:r w:rsidRPr="00D64CA2">
        <w:fldChar w:fldCharType="begin"/>
      </w:r>
      <w:r w:rsidRPr="00D64CA2">
        <w:instrText xml:space="preserve">MERGEFIELD 414 </w:instrText>
      </w:r>
      <w:r w:rsidRPr="00D64CA2">
        <w:fldChar w:fldCharType="end"/>
      </w:r>
      <w:r w:rsidRPr="00D64CA2">
        <w:t>«Битола</w:t>
      </w:r>
      <w:r w:rsidRPr="00D64CA2">
        <w:fldChar w:fldCharType="begin"/>
      </w:r>
      <w:r w:rsidRPr="00D64CA2">
        <w:instrText xml:space="preserve">MERGEFIELD 414 </w:instrText>
      </w:r>
      <w:r w:rsidRPr="00D64CA2">
        <w:fldChar w:fldCharType="end"/>
      </w:r>
      <w:r w:rsidRPr="00D64CA2">
        <w:t xml:space="preserve">», </w:t>
      </w:r>
      <w:r w:rsidRPr="00D64CA2">
        <w:fldChar w:fldCharType="begin"/>
      </w:r>
      <w:r w:rsidRPr="00D64CA2">
        <w:instrText xml:space="preserve">MERGEFIELD 413 </w:instrText>
      </w:r>
      <w:r w:rsidRPr="00D64CA2">
        <w:fldChar w:fldCharType="end"/>
      </w:r>
      <w:r w:rsidRPr="00D64CA2">
        <w:t>«ул.Рузвелтова бр.32</w:t>
      </w:r>
      <w:r w:rsidRPr="00D64CA2">
        <w:fldChar w:fldCharType="begin"/>
      </w:r>
      <w:r w:rsidRPr="00D64CA2">
        <w:instrText xml:space="preserve">MERGEFIELD 413 </w:instrText>
      </w:r>
      <w:r w:rsidRPr="00D64CA2">
        <w:fldChar w:fldCharType="end"/>
      </w:r>
      <w:r w:rsidRPr="00D64CA2">
        <w:t xml:space="preserve">», вон рочиште на ден </w:t>
      </w:r>
      <w:r w:rsidRPr="00D64CA2">
        <w:fldChar w:fldCharType="begin"/>
      </w:r>
      <w:r w:rsidRPr="00D64CA2">
        <w:instrText xml:space="preserve">MERGEFIELD 461 </w:instrText>
      </w:r>
      <w:r w:rsidRPr="00D64CA2">
        <w:fldChar w:fldCharType="end"/>
      </w:r>
      <w:r w:rsidRPr="00D64CA2">
        <w:t>«08.05.2025</w:t>
      </w:r>
      <w:r w:rsidRPr="00D64CA2">
        <w:fldChar w:fldCharType="begin"/>
      </w:r>
      <w:r w:rsidRPr="00D64CA2">
        <w:instrText xml:space="preserve">MERGEFIELD 461 </w:instrText>
      </w:r>
      <w:r w:rsidRPr="00D64CA2">
        <w:fldChar w:fldCharType="end"/>
      </w:r>
      <w:r w:rsidRPr="00D64CA2">
        <w:t xml:space="preserve">»година, донесе </w:t>
      </w:r>
    </w:p>
    <w:p w14:paraId="19A42F5D" w14:textId="77777777" w:rsidR="00D64CA2" w:rsidRPr="00D64CA2" w:rsidRDefault="00D64CA2" w:rsidP="00D64CA2"/>
    <w:p w14:paraId="4AB9D25C" w14:textId="77777777" w:rsidR="00D64CA2" w:rsidRPr="00D64CA2" w:rsidRDefault="00D64CA2" w:rsidP="00D64CA2">
      <w:r w:rsidRPr="00D64CA2">
        <w:t xml:space="preserve">                                                             </w:t>
      </w:r>
      <w:bookmarkStart w:id="0" w:name="_GoBack"/>
      <w:bookmarkEnd w:id="0"/>
      <w:r w:rsidRPr="00D64CA2">
        <w:t>Р Е Ш Е Н И Е</w:t>
      </w:r>
      <w:r w:rsidRPr="00D64CA2">
        <w:tab/>
      </w:r>
      <w:r w:rsidRPr="00D64CA2">
        <w:tab/>
      </w:r>
    </w:p>
    <w:p w14:paraId="55C7E983" w14:textId="77777777" w:rsidR="00D64CA2" w:rsidRPr="00D64CA2" w:rsidRDefault="00D64CA2" w:rsidP="00D64CA2">
      <w:r w:rsidRPr="00D64CA2">
        <w:tab/>
      </w:r>
      <w:r w:rsidRPr="00D64CA2">
        <w:tab/>
      </w:r>
      <w:r w:rsidRPr="00D64CA2">
        <w:tab/>
      </w:r>
      <w:r w:rsidRPr="00D64CA2">
        <w:tab/>
      </w:r>
      <w:r w:rsidRPr="00D64CA2">
        <w:tab/>
      </w:r>
      <w:r w:rsidRPr="00D64CA2">
        <w:tab/>
        <w:t xml:space="preserve">      I</w:t>
      </w:r>
    </w:p>
    <w:p w14:paraId="71563B7A" w14:textId="77777777" w:rsidR="00D64CA2" w:rsidRPr="00D64CA2" w:rsidRDefault="00D64CA2" w:rsidP="00D64CA2">
      <w:r w:rsidRPr="00D64CA2">
        <w:t xml:space="preserve">СЕ ПОВЕДУВА претходна постапка заради утврдување на условите за отворање на стечајна постапка над   Друштво за трговија, производство и услуги </w:t>
      </w:r>
      <w:r w:rsidRPr="00D64CA2">
        <w:fldChar w:fldCharType="begin"/>
      </w:r>
      <w:r w:rsidRPr="00D64CA2">
        <w:instrText xml:space="preserve">MERGEFIELD 105 </w:instrText>
      </w:r>
      <w:r w:rsidRPr="00D64CA2">
        <w:fldChar w:fldCharType="end"/>
      </w:r>
      <w:r w:rsidRPr="00D64CA2">
        <w:t>«СТИЛИЗЕД АРТВОРК увоз-извоз ДООЕЛ Битола</w:t>
      </w:r>
      <w:r w:rsidRPr="00D64CA2">
        <w:fldChar w:fldCharType="begin"/>
      </w:r>
      <w:r w:rsidRPr="00D64CA2">
        <w:instrText xml:space="preserve">MERGEFIELD 105 </w:instrText>
      </w:r>
      <w:r w:rsidRPr="00D64CA2">
        <w:fldChar w:fldCharType="end"/>
      </w:r>
      <w:r w:rsidRPr="00D64CA2">
        <w:t xml:space="preserve">» од </w:t>
      </w:r>
      <w:r w:rsidRPr="00D64CA2">
        <w:fldChar w:fldCharType="begin"/>
      </w:r>
      <w:r w:rsidRPr="00D64CA2">
        <w:instrText xml:space="preserve">MERGEFIELD 414 </w:instrText>
      </w:r>
      <w:r w:rsidRPr="00D64CA2">
        <w:fldChar w:fldCharType="end"/>
      </w:r>
      <w:r w:rsidRPr="00D64CA2">
        <w:t>«Битола</w:t>
      </w:r>
      <w:r w:rsidRPr="00D64CA2">
        <w:fldChar w:fldCharType="begin"/>
      </w:r>
      <w:r w:rsidRPr="00D64CA2">
        <w:instrText xml:space="preserve">MERGEFIELD 414 </w:instrText>
      </w:r>
      <w:r w:rsidRPr="00D64CA2">
        <w:fldChar w:fldCharType="end"/>
      </w:r>
      <w:r w:rsidRPr="00D64CA2">
        <w:t xml:space="preserve">», </w:t>
      </w:r>
      <w:r w:rsidRPr="00D64CA2">
        <w:fldChar w:fldCharType="begin"/>
      </w:r>
      <w:r w:rsidRPr="00D64CA2">
        <w:instrText xml:space="preserve">MERGEFIELD 413 </w:instrText>
      </w:r>
      <w:r w:rsidRPr="00D64CA2">
        <w:fldChar w:fldCharType="end"/>
      </w:r>
      <w:r w:rsidRPr="00D64CA2">
        <w:t>«ул.Рузвелтова бр.32</w:t>
      </w:r>
      <w:r w:rsidRPr="00D64CA2">
        <w:fldChar w:fldCharType="begin"/>
      </w:r>
      <w:r w:rsidRPr="00D64CA2">
        <w:instrText xml:space="preserve">MERGEFIELD 413 </w:instrText>
      </w:r>
      <w:r w:rsidRPr="00D64CA2">
        <w:fldChar w:fldCharType="end"/>
      </w:r>
      <w:r w:rsidRPr="00D64CA2">
        <w:t xml:space="preserve">» со ЕДБ </w:t>
      </w:r>
      <w:r w:rsidRPr="00D64CA2">
        <w:fldChar w:fldCharType="begin"/>
      </w:r>
      <w:r w:rsidRPr="00D64CA2">
        <w:instrText xml:space="preserve">MERGEFIELD 196 </w:instrText>
      </w:r>
      <w:r w:rsidRPr="00D64CA2">
        <w:fldChar w:fldCharType="end"/>
      </w:r>
      <w:r w:rsidRPr="00D64CA2">
        <w:t>«4002024572371</w:t>
      </w:r>
      <w:r w:rsidRPr="00D64CA2">
        <w:fldChar w:fldCharType="begin"/>
      </w:r>
      <w:r w:rsidRPr="00D64CA2">
        <w:instrText xml:space="preserve">MERGEFIELD 196 </w:instrText>
      </w:r>
      <w:r w:rsidRPr="00D64CA2">
        <w:fldChar w:fldCharType="end"/>
      </w:r>
      <w:r w:rsidRPr="00D64CA2">
        <w:t xml:space="preserve">» и ЕМБС </w:t>
      </w:r>
      <w:r w:rsidRPr="00D64CA2">
        <w:fldChar w:fldCharType="begin"/>
      </w:r>
      <w:r w:rsidRPr="00D64CA2">
        <w:instrText xml:space="preserve">MERGEFIELD 418 </w:instrText>
      </w:r>
      <w:r w:rsidRPr="00D64CA2">
        <w:fldChar w:fldCharType="end"/>
      </w:r>
      <w:r w:rsidRPr="00D64CA2">
        <w:t>«7736606</w:t>
      </w:r>
      <w:r w:rsidRPr="00D64CA2">
        <w:fldChar w:fldCharType="begin"/>
      </w:r>
      <w:r w:rsidRPr="00D64CA2">
        <w:instrText xml:space="preserve">MERGEFIELD 418 </w:instrText>
      </w:r>
      <w:r w:rsidRPr="00D64CA2">
        <w:fldChar w:fldCharType="end"/>
      </w:r>
      <w:r w:rsidRPr="00D64CA2">
        <w:t xml:space="preserve">», со претежна дејност со шифра  47.720 трговија на мало со обувки и предмети од кожа, со жиро сметка во Халк Банка АД Скопје со број 270077366060137. </w:t>
      </w:r>
    </w:p>
    <w:p w14:paraId="14349EF3" w14:textId="77777777" w:rsidR="00D64CA2" w:rsidRPr="00D64CA2" w:rsidRDefault="00D64CA2" w:rsidP="00D64CA2"/>
    <w:p w14:paraId="41C28BD8" w14:textId="77777777" w:rsidR="00D64CA2" w:rsidRPr="00D64CA2" w:rsidRDefault="00D64CA2" w:rsidP="00D64CA2">
      <w:r w:rsidRPr="00D64CA2">
        <w:t>СЕ ОПРЕДЕЛУВА рочиште за испитување на условите за отворање на стечајна постапка за ден 29.05.2025 година во 13,30  часот во судница бр. 27  на Основен суд Битола.</w:t>
      </w:r>
    </w:p>
    <w:p w14:paraId="5F7BC6D1" w14:textId="77777777" w:rsidR="00D64CA2" w:rsidRPr="00D64CA2" w:rsidRDefault="00D64CA2" w:rsidP="00D64CA2">
      <w:r w:rsidRPr="00D64CA2">
        <w:t>Против решението за поведување на претходна постапка не е дозволена жалба.</w:t>
      </w:r>
    </w:p>
    <w:p w14:paraId="2A87289A" w14:textId="77777777" w:rsidR="00D64CA2" w:rsidRPr="00D64CA2" w:rsidRDefault="00D64CA2" w:rsidP="00D64CA2"/>
    <w:p w14:paraId="1E2D6C45" w14:textId="77777777" w:rsidR="00D64CA2" w:rsidRPr="00D64CA2" w:rsidRDefault="00D64CA2" w:rsidP="00D64CA2">
      <w:pPr>
        <w:ind w:left="2880" w:firstLine="720"/>
      </w:pPr>
      <w:r w:rsidRPr="00D64CA2">
        <w:t>II</w:t>
      </w:r>
    </w:p>
    <w:p w14:paraId="4F9F621D" w14:textId="77777777" w:rsidR="00D64CA2" w:rsidRPr="00D64CA2" w:rsidRDefault="00D64CA2" w:rsidP="00D64CA2">
      <w:r w:rsidRPr="00D64CA2">
        <w:t>СЕ ОПРЕДЕЛУВААТ следните мерки за обезбедување:</w:t>
      </w:r>
    </w:p>
    <w:p w14:paraId="3083E494" w14:textId="77777777" w:rsidR="00D64CA2" w:rsidRPr="00D64CA2" w:rsidRDefault="00D64CA2" w:rsidP="00D64CA2">
      <w:r w:rsidRPr="00D64CA2">
        <w:t>За привремен стечаен управник се именува овластениот стечаен управник   Даниела Блажевска од Битола ул. Белградска бр.9  тел.076/235-979  вработена во   Битола.</w:t>
      </w:r>
    </w:p>
    <w:p w14:paraId="4EE4C6C6" w14:textId="77777777" w:rsidR="00D64CA2" w:rsidRPr="00D64CA2" w:rsidRDefault="00D64CA2" w:rsidP="00D64CA2">
      <w:r w:rsidRPr="00D64CA2">
        <w:t>Привремениот стечаен управник е должен:</w:t>
      </w:r>
    </w:p>
    <w:p w14:paraId="39AA7EEF" w14:textId="77777777" w:rsidR="00D64CA2" w:rsidRPr="00D64CA2" w:rsidRDefault="00D64CA2" w:rsidP="00D64CA2">
      <w:r w:rsidRPr="00D64CA2">
        <w:t>-да испита дали постои причина за отворање на стечајна постапка</w:t>
      </w:r>
    </w:p>
    <w:p w14:paraId="5CD46AF8" w14:textId="77777777" w:rsidR="00D64CA2" w:rsidRPr="00D64CA2" w:rsidRDefault="00D64CA2" w:rsidP="00D64CA2">
      <w:r w:rsidRPr="00D64CA2">
        <w:t xml:space="preserve">-да го заштити имотот на должникот со сите соодветни средства, да дава согласност на органите на управување на должникот за водење на работењето се до донесувањето на одлуката за отворање на стечајната постапка со цел да се избегне значително намалување на имотот и да се испита дали од имотот на должникот може да се намират трошоците на постапката и да изготви извештај за економско-финансиската состојба на должникот. </w:t>
      </w:r>
    </w:p>
    <w:p w14:paraId="5C188542" w14:textId="77777777" w:rsidR="00D64CA2" w:rsidRPr="00D64CA2" w:rsidRDefault="00D64CA2" w:rsidP="00D64CA2">
      <w:r w:rsidRPr="00D64CA2">
        <w:t xml:space="preserve">СЕ ЗАДОЛЖУВА должникот, законскиот застапник и одговорните лица, да му овозможат на привремениот управник да влезе во деловните простории, за да може да ги спроведе </w:t>
      </w:r>
      <w:r w:rsidRPr="00D64CA2">
        <w:lastRenderedPageBreak/>
        <w:t>потребните дејствија како и да изврши увид во трговските книги и деловната документација.</w:t>
      </w:r>
    </w:p>
    <w:p w14:paraId="33BD14A9" w14:textId="77777777" w:rsidR="00D64CA2" w:rsidRPr="00D64CA2" w:rsidRDefault="00D64CA2" w:rsidP="00D64CA2">
      <w:r w:rsidRPr="00D64CA2">
        <w:t xml:space="preserve">СЕ ЗАБРАНУВА определување или спроведување на присилно извршување или обезбедување против должникот. </w:t>
      </w:r>
    </w:p>
    <w:p w14:paraId="77CE6F82" w14:textId="77777777" w:rsidR="00D64CA2" w:rsidRPr="00D64CA2" w:rsidRDefault="00D64CA2" w:rsidP="00D64CA2">
      <w:r w:rsidRPr="00D64CA2">
        <w:t>СЕ ЗАБРАНУВА исплата од сметките на должникот.</w:t>
      </w:r>
    </w:p>
    <w:p w14:paraId="4598BF71" w14:textId="77777777" w:rsidR="00D64CA2" w:rsidRPr="00D64CA2" w:rsidRDefault="00D64CA2" w:rsidP="00D64CA2">
      <w:r w:rsidRPr="00D64CA2">
        <w:t>Се повикуваат должниците на должникот и должниковите солидарни содолжници и гаранти без одлагање да ги исполнат своите обврски кон должникот.</w:t>
      </w:r>
    </w:p>
    <w:p w14:paraId="0FF53D93" w14:textId="77777777" w:rsidR="00D64CA2" w:rsidRPr="00D64CA2" w:rsidRDefault="00D64CA2" w:rsidP="00D64CA2"/>
    <w:p w14:paraId="4E47FCFA" w14:textId="77777777" w:rsidR="00D64CA2" w:rsidRPr="00D64CA2" w:rsidRDefault="00D64CA2" w:rsidP="00D64CA2">
      <w:r w:rsidRPr="00D64CA2">
        <w:t>Решението се објавува на огласна табла на судот и во Службен весник на РМ.</w:t>
      </w:r>
      <w:r w:rsidRPr="00D64CA2">
        <w:tab/>
      </w:r>
      <w:r w:rsidRPr="00D64CA2">
        <w:tab/>
      </w:r>
      <w:r w:rsidRPr="00D64CA2">
        <w:tab/>
      </w:r>
      <w:r w:rsidRPr="00D64CA2">
        <w:tab/>
      </w:r>
      <w:r w:rsidRPr="00D64CA2">
        <w:tab/>
      </w:r>
    </w:p>
    <w:p w14:paraId="3AC0F516" w14:textId="77777777" w:rsidR="00D64CA2" w:rsidRPr="00D64CA2" w:rsidRDefault="00D64CA2" w:rsidP="00D64CA2">
      <w:pPr>
        <w:ind w:left="2160" w:firstLine="720"/>
      </w:pPr>
      <w:r w:rsidRPr="00D64CA2">
        <w:t>О б р а з л о ж е н и е</w:t>
      </w:r>
    </w:p>
    <w:p w14:paraId="178726E9" w14:textId="77777777" w:rsidR="00D64CA2" w:rsidRPr="00D64CA2" w:rsidRDefault="00D64CA2" w:rsidP="00D64CA2"/>
    <w:p w14:paraId="36EC6AEC" w14:textId="77777777" w:rsidR="00D64CA2" w:rsidRPr="00D64CA2" w:rsidRDefault="00D64CA2" w:rsidP="00D64CA2">
      <w:r w:rsidRPr="00D64CA2">
        <w:tab/>
        <w:t xml:space="preserve">Предлагачот </w:t>
      </w:r>
      <w:r w:rsidRPr="00D64CA2">
        <w:fldChar w:fldCharType="begin"/>
      </w:r>
      <w:r w:rsidRPr="00D64CA2">
        <w:instrText xml:space="preserve">MERGEFIELD 147 </w:instrText>
      </w:r>
      <w:r w:rsidRPr="00D64CA2">
        <w:fldChar w:fldCharType="end"/>
      </w:r>
      <w:r w:rsidRPr="00D64CA2">
        <w:t>«Валентина Блажевска</w:t>
      </w:r>
      <w:r w:rsidRPr="00D64CA2">
        <w:fldChar w:fldCharType="begin"/>
      </w:r>
      <w:r w:rsidRPr="00D64CA2">
        <w:instrText xml:space="preserve">MERGEFIELD 147 </w:instrText>
      </w:r>
      <w:r w:rsidRPr="00D64CA2">
        <w:fldChar w:fldCharType="end"/>
      </w:r>
      <w:r w:rsidRPr="00D64CA2">
        <w:t xml:space="preserve">» од </w:t>
      </w:r>
      <w:r w:rsidRPr="00D64CA2">
        <w:fldChar w:fldCharType="begin"/>
      </w:r>
      <w:r w:rsidRPr="00D64CA2">
        <w:instrText xml:space="preserve">MERGEFIELD 406 </w:instrText>
      </w:r>
      <w:r w:rsidRPr="00D64CA2">
        <w:fldChar w:fldCharType="end"/>
      </w:r>
      <w:r w:rsidRPr="00D64CA2">
        <w:t>«Битола</w:t>
      </w:r>
      <w:r w:rsidRPr="00D64CA2">
        <w:fldChar w:fldCharType="begin"/>
      </w:r>
      <w:r w:rsidRPr="00D64CA2">
        <w:instrText xml:space="preserve">MERGEFIELD 406 </w:instrText>
      </w:r>
      <w:r w:rsidRPr="00D64CA2">
        <w:fldChar w:fldCharType="end"/>
      </w:r>
      <w:r w:rsidRPr="00D64CA2">
        <w:t xml:space="preserve">», поднесе предлог за отворање на стечајна постапка над должникот  Друштво за трговија, производство и услуги </w:t>
      </w:r>
      <w:r w:rsidRPr="00D64CA2">
        <w:fldChar w:fldCharType="begin"/>
      </w:r>
      <w:r w:rsidRPr="00D64CA2">
        <w:instrText xml:space="preserve">MERGEFIELD 105 </w:instrText>
      </w:r>
      <w:r w:rsidRPr="00D64CA2">
        <w:fldChar w:fldCharType="end"/>
      </w:r>
      <w:r w:rsidRPr="00D64CA2">
        <w:t>«СТИЛИЗЕД АРТ ВОРК увоз-извозДООЕЛ</w:t>
      </w:r>
      <w:r w:rsidRPr="00D64CA2">
        <w:fldChar w:fldCharType="begin"/>
      </w:r>
      <w:r w:rsidRPr="00D64CA2">
        <w:instrText xml:space="preserve">MERGEFIELD 105 </w:instrText>
      </w:r>
      <w:r w:rsidRPr="00D64CA2">
        <w:fldChar w:fldCharType="end"/>
      </w:r>
      <w:r w:rsidRPr="00D64CA2">
        <w:t xml:space="preserve">» од </w:t>
      </w:r>
      <w:r w:rsidRPr="00D64CA2">
        <w:fldChar w:fldCharType="begin"/>
      </w:r>
      <w:r w:rsidRPr="00D64CA2">
        <w:instrText xml:space="preserve">MERGEFIELD 414 </w:instrText>
      </w:r>
      <w:r w:rsidRPr="00D64CA2">
        <w:fldChar w:fldCharType="end"/>
      </w:r>
      <w:r w:rsidRPr="00D64CA2">
        <w:t>«Битола</w:t>
      </w:r>
      <w:r w:rsidRPr="00D64CA2">
        <w:fldChar w:fldCharType="begin"/>
      </w:r>
      <w:r w:rsidRPr="00D64CA2">
        <w:instrText xml:space="preserve">MERGEFIELD 414 </w:instrText>
      </w:r>
      <w:r w:rsidRPr="00D64CA2">
        <w:fldChar w:fldCharType="end"/>
      </w:r>
      <w:r w:rsidRPr="00D64CA2">
        <w:t>»,  со наводи дека заради неспособност за плаќање, неликвидност и неможност да ги намирува обврските од редовното работење, да се отвори стечајна постапка.</w:t>
      </w:r>
    </w:p>
    <w:p w14:paraId="26CEB501" w14:textId="77777777" w:rsidR="00D64CA2" w:rsidRPr="00D64CA2" w:rsidRDefault="00D64CA2" w:rsidP="00D64CA2">
      <w:r w:rsidRPr="00D64CA2">
        <w:tab/>
        <w:t>Постапувајќи по предлогот, стечајниот судија утврди дека предлогот е уреден и согласно член 54 ст.2 од Законот за стечај,  донесе решение за поведување на претходна постапка и го определи датумот за одржување на рочиште за испитување на условите за отворање на стечајната постапка.</w:t>
      </w:r>
    </w:p>
    <w:p w14:paraId="6302B5F6" w14:textId="77777777" w:rsidR="00D64CA2" w:rsidRPr="00D64CA2" w:rsidRDefault="00D64CA2" w:rsidP="00D64CA2">
      <w:r w:rsidRPr="00D64CA2">
        <w:tab/>
        <w:t>Стечајниот судија согласно член 58 од Законот за стечај ги определи мерките за обезбедување наведени во став 2 од решението.Судот определи и објавување на ова решение согласно член 60 од Законот за стечај.</w:t>
      </w:r>
    </w:p>
    <w:p w14:paraId="7A0B8CF5" w14:textId="77777777" w:rsidR="00D64CA2" w:rsidRPr="00D64CA2" w:rsidRDefault="00D64CA2" w:rsidP="00D64CA2"/>
    <w:p w14:paraId="282B971B" w14:textId="77777777" w:rsidR="00D64CA2" w:rsidRPr="00D64CA2" w:rsidRDefault="00D64CA2" w:rsidP="00D64CA2"/>
    <w:p w14:paraId="2B50A347" w14:textId="77777777" w:rsidR="00D64CA2" w:rsidRPr="00D64CA2" w:rsidRDefault="00D64CA2" w:rsidP="00D64CA2">
      <w:r w:rsidRPr="00D64CA2">
        <w:tab/>
      </w:r>
      <w:r w:rsidRPr="00D64CA2">
        <w:tab/>
        <w:t xml:space="preserve"> </w:t>
      </w:r>
    </w:p>
    <w:p w14:paraId="4F94A4AC" w14:textId="77777777" w:rsidR="00D64CA2" w:rsidRPr="00D64CA2" w:rsidRDefault="00D64CA2" w:rsidP="00D64CA2">
      <w:r w:rsidRPr="00D64CA2">
        <w:tab/>
      </w:r>
      <w:r w:rsidRPr="00D64CA2">
        <w:tab/>
      </w:r>
      <w:r w:rsidRPr="00D64CA2">
        <w:tab/>
      </w:r>
      <w:r w:rsidRPr="00D64CA2">
        <w:tab/>
      </w:r>
      <w:r w:rsidRPr="00D64CA2">
        <w:tab/>
        <w:t xml:space="preserve">                                         Стечаен судија</w:t>
      </w:r>
    </w:p>
    <w:p w14:paraId="147E3813" w14:textId="77777777" w:rsidR="00D64CA2" w:rsidRPr="00D64CA2" w:rsidRDefault="00D64CA2" w:rsidP="00D64CA2">
      <w:pPr>
        <w:rPr>
          <w:b/>
          <w:bCs/>
        </w:rPr>
      </w:pPr>
      <w:r w:rsidRPr="00D64CA2">
        <w:tab/>
      </w:r>
      <w:r w:rsidRPr="00D64CA2">
        <w:tab/>
      </w:r>
      <w:r w:rsidRPr="00D64CA2">
        <w:tab/>
        <w:t xml:space="preserve">                                                             </w:t>
      </w:r>
      <w:r w:rsidRPr="00D64CA2">
        <w:rPr>
          <w:b/>
          <w:bCs/>
        </w:rPr>
        <w:t xml:space="preserve">  </w:t>
      </w:r>
      <w:r w:rsidRPr="00D64CA2">
        <w:rPr>
          <w:b/>
          <w:bCs/>
        </w:rPr>
        <w:fldChar w:fldCharType="begin"/>
      </w:r>
      <w:r w:rsidRPr="00D64CA2">
        <w:rPr>
          <w:b/>
          <w:bCs/>
        </w:rPr>
        <w:instrText xml:space="preserve">MERGEFIELD 94 </w:instrText>
      </w:r>
      <w:r w:rsidRPr="00D64CA2">
        <w:fldChar w:fldCharType="end"/>
      </w:r>
      <w:r w:rsidRPr="00D64CA2">
        <w:rPr>
          <w:b/>
          <w:bCs/>
        </w:rPr>
        <w:t>«</w:t>
      </w:r>
      <w:r w:rsidRPr="00D64CA2">
        <w:t>Татјана Митревска</w:t>
      </w:r>
      <w:r w:rsidRPr="00D64CA2">
        <w:rPr>
          <w:b/>
          <w:bCs/>
        </w:rPr>
        <w:fldChar w:fldCharType="begin"/>
      </w:r>
      <w:r w:rsidRPr="00D64CA2">
        <w:rPr>
          <w:b/>
          <w:bCs/>
        </w:rPr>
        <w:instrText xml:space="preserve">MERGEFIELD 94 </w:instrText>
      </w:r>
      <w:r w:rsidRPr="00D64CA2">
        <w:fldChar w:fldCharType="end"/>
      </w:r>
      <w:r w:rsidRPr="00D64CA2">
        <w:rPr>
          <w:b/>
          <w:bCs/>
        </w:rPr>
        <w:t>»</w:t>
      </w:r>
    </w:p>
    <w:p w14:paraId="4939DF5C" w14:textId="77777777" w:rsidR="00D64CA2" w:rsidRPr="00D64CA2" w:rsidRDefault="00D64CA2" w:rsidP="00D64CA2"/>
    <w:p w14:paraId="4C3A9793" w14:textId="77777777" w:rsidR="00D64CA2" w:rsidRPr="00D64CA2" w:rsidRDefault="00D64CA2" w:rsidP="00D64CA2">
      <w:r w:rsidRPr="00D64CA2">
        <w:t xml:space="preserve"> ПОУКА: Против ова решение не е дозволена жалба</w:t>
      </w:r>
    </w:p>
    <w:p w14:paraId="7ED5C35B" w14:textId="77777777" w:rsidR="00D64CA2" w:rsidRPr="00D64CA2" w:rsidRDefault="00D64CA2" w:rsidP="00D64CA2"/>
    <w:p w14:paraId="69B47BE8" w14:textId="77777777" w:rsidR="00D64CA2" w:rsidRPr="00D64CA2" w:rsidRDefault="00D64CA2" w:rsidP="00D64CA2">
      <w:r w:rsidRPr="00D64CA2">
        <w:lastRenderedPageBreak/>
        <w:t>ДНА: Предлагачот, должникот, привремениот стечаен управник, примерок во Службен весник на РМ, Централен Регистар на РМ РД Битола, РД УЈП Битола и на Огласна табла и веб-страна на Основен Суд Битола.</w:t>
      </w:r>
    </w:p>
    <w:p w14:paraId="4C026B3E" w14:textId="77777777" w:rsidR="00D64CA2" w:rsidRPr="00D64CA2" w:rsidRDefault="00D64CA2" w:rsidP="00D64CA2"/>
    <w:p w14:paraId="13D8FBF3" w14:textId="77777777" w:rsidR="00D64CA2" w:rsidRPr="00D64CA2" w:rsidRDefault="00D64CA2" w:rsidP="00D64CA2"/>
    <w:p w14:paraId="06464544" w14:textId="77777777" w:rsidR="00D64CA2" w:rsidRPr="00D64CA2" w:rsidRDefault="00D64CA2" w:rsidP="00D64CA2">
      <w:pPr>
        <w:rPr>
          <w:b/>
          <w:bCs/>
        </w:rPr>
      </w:pPr>
      <w:r w:rsidRPr="00D64CA2">
        <w:rPr>
          <w:b/>
          <w:bCs/>
        </w:rPr>
        <w:tab/>
      </w:r>
      <w:r w:rsidRPr="00D64CA2">
        <w:rPr>
          <w:b/>
          <w:bCs/>
        </w:rPr>
        <w:tab/>
      </w:r>
      <w:r w:rsidRPr="00D64CA2">
        <w:rPr>
          <w:b/>
          <w:bCs/>
        </w:rPr>
        <w:tab/>
      </w:r>
      <w:r w:rsidRPr="00D64CA2">
        <w:rPr>
          <w:b/>
          <w:bCs/>
        </w:rPr>
        <w:tab/>
      </w:r>
      <w:r w:rsidRPr="00D64CA2">
        <w:rPr>
          <w:b/>
          <w:bCs/>
        </w:rPr>
        <w:tab/>
      </w:r>
      <w:r w:rsidRPr="00D64CA2">
        <w:rPr>
          <w:b/>
          <w:bCs/>
        </w:rPr>
        <w:tab/>
        <w:t xml:space="preserve">         </w:t>
      </w:r>
    </w:p>
    <w:p w14:paraId="29B342DC" w14:textId="77777777" w:rsidR="00D64CA2" w:rsidRPr="00D64CA2" w:rsidRDefault="00D64CA2" w:rsidP="00D64CA2"/>
    <w:sectPr w:rsidR="00D64CA2" w:rsidRPr="00D64CA2" w:rsidSect="00D64CA2">
      <w:pgSz w:w="11906" w:h="16838"/>
      <w:pgMar w:top="1270" w:right="1338" w:bottom="1270" w:left="1338" w:header="254" w:footer="254"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CA2"/>
    <w:rsid w:val="00200E7B"/>
    <w:rsid w:val="00D64CA2"/>
  </w:rsids>
  <m:mathPr>
    <m:mathFont m:val="Cambria Math"/>
    <m:brkBin m:val="before"/>
    <m:brkBinSub m:val="--"/>
    <m:smallFrac m:val="0"/>
    <m:dispDef/>
    <m:lMargin m:val="0"/>
    <m:rMargin m:val="0"/>
    <m:defJc m:val="centerGroup"/>
    <m:wrapIndent m:val="1440"/>
    <m:intLim m:val="subSup"/>
    <m:naryLim m:val="undOvr"/>
  </m:mathPr>
  <w:themeFontLang w:val="mk-MK"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E58966"/>
  <w15:chartTrackingRefBased/>
  <w15:docId w15:val="{61944C46-6C35-459C-A75B-7880791F0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mk-MK"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64CA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64CA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64CA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64CA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64CA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64CA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64CA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64CA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64CA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4CA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64CA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64CA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64CA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64CA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64CA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64CA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64CA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64CA2"/>
    <w:rPr>
      <w:rFonts w:eastAsiaTheme="majorEastAsia" w:cstheme="majorBidi"/>
      <w:color w:val="272727" w:themeColor="text1" w:themeTint="D8"/>
    </w:rPr>
  </w:style>
  <w:style w:type="paragraph" w:styleId="Title">
    <w:name w:val="Title"/>
    <w:basedOn w:val="Normal"/>
    <w:next w:val="Normal"/>
    <w:link w:val="TitleChar"/>
    <w:uiPriority w:val="10"/>
    <w:qFormat/>
    <w:rsid w:val="00D64CA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64CA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64CA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64CA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64CA2"/>
    <w:pPr>
      <w:spacing w:before="160"/>
      <w:jc w:val="center"/>
    </w:pPr>
    <w:rPr>
      <w:i/>
      <w:iCs/>
      <w:color w:val="404040" w:themeColor="text1" w:themeTint="BF"/>
    </w:rPr>
  </w:style>
  <w:style w:type="character" w:customStyle="1" w:styleId="QuoteChar">
    <w:name w:val="Quote Char"/>
    <w:basedOn w:val="DefaultParagraphFont"/>
    <w:link w:val="Quote"/>
    <w:uiPriority w:val="29"/>
    <w:rsid w:val="00D64CA2"/>
    <w:rPr>
      <w:i/>
      <w:iCs/>
      <w:color w:val="404040" w:themeColor="text1" w:themeTint="BF"/>
    </w:rPr>
  </w:style>
  <w:style w:type="paragraph" w:styleId="ListParagraph">
    <w:name w:val="List Paragraph"/>
    <w:basedOn w:val="Normal"/>
    <w:uiPriority w:val="34"/>
    <w:qFormat/>
    <w:rsid w:val="00D64CA2"/>
    <w:pPr>
      <w:ind w:left="720"/>
      <w:contextualSpacing/>
    </w:pPr>
  </w:style>
  <w:style w:type="character" w:styleId="IntenseEmphasis">
    <w:name w:val="Intense Emphasis"/>
    <w:basedOn w:val="DefaultParagraphFont"/>
    <w:uiPriority w:val="21"/>
    <w:qFormat/>
    <w:rsid w:val="00D64CA2"/>
    <w:rPr>
      <w:i/>
      <w:iCs/>
      <w:color w:val="2F5496" w:themeColor="accent1" w:themeShade="BF"/>
    </w:rPr>
  </w:style>
  <w:style w:type="paragraph" w:styleId="IntenseQuote">
    <w:name w:val="Intense Quote"/>
    <w:basedOn w:val="Normal"/>
    <w:next w:val="Normal"/>
    <w:link w:val="IntenseQuoteChar"/>
    <w:uiPriority w:val="30"/>
    <w:qFormat/>
    <w:rsid w:val="00D64CA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64CA2"/>
    <w:rPr>
      <w:i/>
      <w:iCs/>
      <w:color w:val="2F5496" w:themeColor="accent1" w:themeShade="BF"/>
    </w:rPr>
  </w:style>
  <w:style w:type="character" w:styleId="IntenseReference">
    <w:name w:val="Intense Reference"/>
    <w:basedOn w:val="DefaultParagraphFont"/>
    <w:uiPriority w:val="32"/>
    <w:qFormat/>
    <w:rsid w:val="00D64CA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667</Words>
  <Characters>3802</Characters>
  <Application>Microsoft Office Word</Application>
  <DocSecurity>0</DocSecurity>
  <Lines>31</Lines>
  <Paragraphs>8</Paragraphs>
  <ScaleCrop>false</ScaleCrop>
  <Company/>
  <LinksUpToDate>false</LinksUpToDate>
  <CharactersWithSpaces>4461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Marija Dimovska</dc:creator>
  <cp:keywords/>
  <dc:description/>
  <cp:lastModifiedBy>Marija Dimovska</cp:lastModifiedBy>
  <cp:revision>1</cp:revision>
  <dcterms:created xsi:type="dcterms:W3CDTF">2025-05-12T08:39:00Z</dcterms:created>
  <dcterms:modified xsi:type="dcterms:W3CDTF">2025-05-12T08:40:00Z</dcterms:modified>
</cp:coreProperties>
</file>